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DE" w:rsidRDefault="00A421DE" w:rsidP="00A421DE">
      <w:pPr>
        <w:pStyle w:val="a3"/>
      </w:pPr>
      <w:r>
        <w:t xml:space="preserve">           Администрация</w:t>
      </w:r>
    </w:p>
    <w:p w:rsidR="00A421DE" w:rsidRDefault="00A421DE" w:rsidP="00A421DE">
      <w:pPr>
        <w:pStyle w:val="a3"/>
      </w:pPr>
      <w:r>
        <w:t xml:space="preserve"> муниципального образования</w:t>
      </w:r>
    </w:p>
    <w:p w:rsidR="00A421DE" w:rsidRDefault="00A421DE" w:rsidP="00A421DE">
      <w:pPr>
        <w:pStyle w:val="a3"/>
      </w:pPr>
      <w:r>
        <w:t xml:space="preserve">  </w:t>
      </w:r>
      <w:proofErr w:type="spellStart"/>
      <w:r>
        <w:t>Тимашевский</w:t>
      </w:r>
      <w:proofErr w:type="spellEnd"/>
      <w:r>
        <w:t xml:space="preserve"> сельсовет</w:t>
      </w:r>
    </w:p>
    <w:p w:rsidR="00A421DE" w:rsidRDefault="00A421DE" w:rsidP="00A421DE">
      <w:pPr>
        <w:pStyle w:val="a3"/>
      </w:pPr>
      <w:r>
        <w:t xml:space="preserve">       </w:t>
      </w:r>
      <w:proofErr w:type="spellStart"/>
      <w:r>
        <w:t>Сакмарский</w:t>
      </w:r>
      <w:proofErr w:type="spellEnd"/>
      <w:r>
        <w:t xml:space="preserve"> район</w:t>
      </w:r>
    </w:p>
    <w:p w:rsidR="00A421DE" w:rsidRDefault="00A421DE" w:rsidP="00A421DE">
      <w:pPr>
        <w:pStyle w:val="a3"/>
      </w:pPr>
      <w:r>
        <w:t xml:space="preserve">     Оренбургской области</w:t>
      </w:r>
    </w:p>
    <w:p w:rsidR="00A421DE" w:rsidRDefault="00A421DE" w:rsidP="00A421DE">
      <w:pPr>
        <w:pStyle w:val="a3"/>
      </w:pPr>
      <w:r>
        <w:t xml:space="preserve">       РАСПОРЯЖЕНИЕ</w:t>
      </w:r>
    </w:p>
    <w:p w:rsidR="00A421DE" w:rsidRDefault="00A421DE" w:rsidP="00A421DE">
      <w:r>
        <w:t xml:space="preserve">       </w:t>
      </w:r>
      <w:r>
        <w:rPr>
          <w:u w:val="single"/>
        </w:rPr>
        <w:t>15.11.2019 г.</w:t>
      </w:r>
      <w:r>
        <w:t xml:space="preserve"> № </w:t>
      </w:r>
      <w:r>
        <w:rPr>
          <w:u w:val="single"/>
        </w:rPr>
        <w:t>20-р</w:t>
      </w:r>
    </w:p>
    <w:p w:rsidR="00A421DE" w:rsidRDefault="00A421DE" w:rsidP="00A421DE">
      <w:r>
        <w:t xml:space="preserve">             с</w:t>
      </w:r>
      <w:proofErr w:type="gramStart"/>
      <w:r>
        <w:t>.Т</w:t>
      </w:r>
      <w:proofErr w:type="gramEnd"/>
      <w:r>
        <w:t>имашево</w:t>
      </w:r>
    </w:p>
    <w:p w:rsidR="00A421DE" w:rsidRDefault="00A421DE" w:rsidP="00A421DE">
      <w:pPr>
        <w:tabs>
          <w:tab w:val="center" w:pos="4678"/>
          <w:tab w:val="right" w:pos="9356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Указаний</w:t>
      </w:r>
    </w:p>
    <w:p w:rsidR="00A421DE" w:rsidRDefault="00A421DE" w:rsidP="00A4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применения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DE" w:rsidRDefault="00A421DE" w:rsidP="00A4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статей расходов бюджета</w:t>
      </w:r>
    </w:p>
    <w:p w:rsidR="00A421DE" w:rsidRDefault="00A421DE" w:rsidP="00A4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421DE" w:rsidRDefault="00A421DE" w:rsidP="00A4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421DE" w:rsidRDefault="00A421DE" w:rsidP="00A4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421DE" w:rsidRDefault="00A421DE" w:rsidP="00A421DE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9 и 21 Бюджетного кодекса Российской Федерации,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установления порядка применения целевых статей расходов бюджета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Тимашевский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сельсовет:</w:t>
      </w:r>
    </w:p>
    <w:p w:rsidR="00A421DE" w:rsidRDefault="00A421DE" w:rsidP="00A4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Указания о порядке применения целевых статей расходов бюджета МО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сельсовет (далее - Указания), согласно приложению, к настоящему распоряжению.</w:t>
      </w:r>
    </w:p>
    <w:p w:rsidR="00A421DE" w:rsidRDefault="00A421DE" w:rsidP="00A421D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Указания применяются при составлении и исполнении бюджета МО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сельсовет, начиная с бюджетов на 2020 год и плановый период 2021 и 2022 годов.</w:t>
      </w:r>
    </w:p>
    <w:p w:rsidR="00A421DE" w:rsidRDefault="00A421DE" w:rsidP="00A421DE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421DE" w:rsidRDefault="00A421DE" w:rsidP="00A421DE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распоряжения вступает в силу со дня подписания.</w:t>
      </w:r>
    </w:p>
    <w:p w:rsidR="00A421DE" w:rsidRDefault="00A421DE" w:rsidP="00A4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М.А.Ильин       </w:t>
      </w:r>
    </w:p>
    <w:p w:rsidR="00A421DE" w:rsidRDefault="00A421DE" w:rsidP="00A4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44"/>
        <w:gridCol w:w="3145"/>
        <w:gridCol w:w="3282"/>
      </w:tblGrid>
      <w:tr w:rsidR="00A421DE" w:rsidTr="00A421DE">
        <w:tc>
          <w:tcPr>
            <w:tcW w:w="3144" w:type="dxa"/>
          </w:tcPr>
          <w:p w:rsidR="00A421DE" w:rsidRDefault="00A42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45" w:type="dxa"/>
          </w:tcPr>
          <w:p w:rsidR="00A421DE" w:rsidRDefault="00A42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421DE" w:rsidRDefault="00A42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421DE" w:rsidRDefault="00A42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421DE" w:rsidRDefault="00A42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hideMark/>
          </w:tcPr>
          <w:p w:rsidR="00A421DE" w:rsidRDefault="00A42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Приложение к распоряжению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администрации от 15.11.2019 г. №20-р</w:t>
            </w:r>
          </w:p>
        </w:tc>
      </w:tr>
    </w:tbl>
    <w:p w:rsidR="00A421DE" w:rsidRDefault="00A421DE" w:rsidP="00A421DE">
      <w:pPr>
        <w:pStyle w:val="ConsPlusTitle"/>
        <w:widowControl/>
        <w:ind w:left="6379"/>
        <w:jc w:val="both"/>
        <w:outlineLvl w:val="0"/>
        <w:rPr>
          <w:b w:val="0"/>
        </w:rPr>
      </w:pPr>
    </w:p>
    <w:p w:rsidR="00A421DE" w:rsidRDefault="00A421DE" w:rsidP="00A421DE">
      <w:pPr>
        <w:pStyle w:val="ConsPlusTitle"/>
        <w:widowControl/>
        <w:ind w:left="6379"/>
        <w:jc w:val="both"/>
        <w:outlineLvl w:val="0"/>
        <w:rPr>
          <w:b w:val="0"/>
        </w:rPr>
      </w:pPr>
    </w:p>
    <w:p w:rsidR="00A421DE" w:rsidRDefault="00A421DE" w:rsidP="00A421DE">
      <w:pPr>
        <w:pStyle w:val="ConsPlusTitle"/>
        <w:widowControl/>
        <w:jc w:val="both"/>
        <w:outlineLvl w:val="0"/>
        <w:rPr>
          <w:b w:val="0"/>
        </w:rPr>
      </w:pPr>
    </w:p>
    <w:p w:rsidR="00A421DE" w:rsidRDefault="00A421DE" w:rsidP="00A421D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Указания о порядке </w:t>
      </w:r>
      <w:proofErr w:type="gramStart"/>
      <w:r>
        <w:rPr>
          <w:b w:val="0"/>
        </w:rPr>
        <w:t xml:space="preserve">применения целевых статей расходов </w:t>
      </w:r>
      <w:r>
        <w:rPr>
          <w:rFonts w:eastAsia="Calibri"/>
          <w:b w:val="0"/>
          <w:lang w:eastAsia="en-US"/>
        </w:rPr>
        <w:t>бюджета муниципального образования</w:t>
      </w:r>
      <w:proofErr w:type="gramEnd"/>
      <w:r>
        <w:rPr>
          <w:rFonts w:eastAsia="Calibri"/>
          <w:b w:val="0"/>
          <w:lang w:eastAsia="en-US"/>
        </w:rPr>
        <w:t xml:space="preserve"> </w:t>
      </w:r>
      <w:proofErr w:type="spellStart"/>
      <w:r>
        <w:rPr>
          <w:rFonts w:eastAsia="Calibri"/>
          <w:b w:val="0"/>
          <w:lang w:eastAsia="en-US"/>
        </w:rPr>
        <w:t>Тимашевский</w:t>
      </w:r>
      <w:proofErr w:type="spellEnd"/>
      <w:r>
        <w:rPr>
          <w:rFonts w:eastAsia="Calibri"/>
          <w:b w:val="0"/>
          <w:lang w:eastAsia="en-US"/>
        </w:rPr>
        <w:t xml:space="preserve"> сельсовет</w:t>
      </w:r>
    </w:p>
    <w:p w:rsidR="00A421DE" w:rsidRDefault="00A421DE" w:rsidP="00A4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421DE" w:rsidRDefault="00A421DE" w:rsidP="00A4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Целевые статьи расходов  бюджета  муниципального образования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Тимашевский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(далее - местного бюджета) обеспечивают привязку бюджетных ассигнований к муниципальным программам МО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Тимашевский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сельсовет, их подпрограммам, основным мероприятиям муниципальных программ и не включенным в муниципальные программы направлениям деятельности  органов местного самоуправления МО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Тимашевский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сельсовет, и (или) к расходным обязательствам, подлежащим исполнению за счет средств местного бюджета.</w:t>
      </w:r>
      <w:proofErr w:type="gramEnd"/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Каждому публичному нормативному обязательству, межбюджетному трансферту, обособленной функции (сфере, направлению) деятельности органов местного самоуправления присваиваются уникальные коды целевых статей расходов местного бюджета.</w:t>
      </w:r>
    </w:p>
    <w:p w:rsidR="00A421DE" w:rsidRDefault="00A421DE" w:rsidP="00A421D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целевой статьи расходов местного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бюджета  состоит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из десяти разрядов и включает следующие составные части (таблица 1):</w:t>
      </w:r>
    </w:p>
    <w:p w:rsidR="00A421DE" w:rsidRDefault="00A421DE" w:rsidP="00A421D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код программного (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непрограммного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) направления расходов (8 – 9 разряды кода классификации расходов бюджетов) – предназначен для кодирования муниципальных программ МО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сельсовет,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мероприятий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МОТимашевский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421DE" w:rsidRDefault="00A421DE" w:rsidP="00A421D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код подпрограммы (10 разряд кода классификации расходов бюджетов) – предназначен для кодирования подпрограмм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направлений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A421DE" w:rsidRDefault="00A421DE" w:rsidP="00A421D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код основного мероприятия (11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12 разряды кода классификации расходов бюджетов) – предназначен для кодирования основных мероприятий в рамках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и подпрограмм муниципальных программ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421DE" w:rsidRDefault="00A421DE" w:rsidP="00A421D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(13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17 разряды кода классификации расходов бюджетов) – предназначен для кодирования направлений расходования средств, конкретизирующих отдельные мероприятия.</w:t>
      </w:r>
    </w:p>
    <w:p w:rsidR="00A421DE" w:rsidRDefault="00A421DE" w:rsidP="00A421D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421DE" w:rsidRDefault="00A421DE" w:rsidP="00A421D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421DE" w:rsidRDefault="00A421DE" w:rsidP="00A421D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421DE" w:rsidRDefault="00A421DE" w:rsidP="00A421D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421DE" w:rsidRDefault="00A421DE" w:rsidP="00A421D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421DE" w:rsidRDefault="00A421DE" w:rsidP="00A421DE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Таблица 1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4"/>
        <w:gridCol w:w="994"/>
        <w:gridCol w:w="1418"/>
        <w:gridCol w:w="994"/>
        <w:gridCol w:w="850"/>
        <w:gridCol w:w="851"/>
        <w:gridCol w:w="992"/>
        <w:gridCol w:w="851"/>
        <w:gridCol w:w="850"/>
        <w:gridCol w:w="851"/>
      </w:tblGrid>
      <w:tr w:rsidR="00A421DE" w:rsidTr="00A421DE">
        <w:trPr>
          <w:trHeight w:val="240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Целевая статья</w:t>
            </w:r>
          </w:p>
        </w:tc>
      </w:tr>
      <w:tr w:rsidR="00A421DE" w:rsidTr="00A421DE">
        <w:trPr>
          <w:trHeight w:val="24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Программное</w:t>
            </w:r>
          </w:p>
          <w:p w:rsidR="00A421DE" w:rsidRDefault="00A421DE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непрограммное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)</w:t>
            </w:r>
          </w:p>
          <w:p w:rsidR="00A421DE" w:rsidRDefault="00A421DE">
            <w:pPr>
              <w:pStyle w:val="ConsCell"/>
              <w:widowControl/>
              <w:ind w:left="-212" w:right="-7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направление</w:t>
            </w:r>
          </w:p>
          <w:p w:rsidR="00A421DE" w:rsidRDefault="00A421DE">
            <w:pPr>
              <w:pStyle w:val="ConsCell"/>
              <w:widowControl/>
              <w:ind w:right="-70" w:hanging="7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Под-программа</w:t>
            </w:r>
            <w:proofErr w:type="spellEnd"/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Основное</w:t>
            </w:r>
          </w:p>
          <w:p w:rsidR="00A421DE" w:rsidRDefault="00A421D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Направление расходов</w:t>
            </w:r>
          </w:p>
        </w:tc>
      </w:tr>
      <w:tr w:rsidR="00A421DE" w:rsidTr="00A421D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pStyle w:val="ConsCell"/>
              <w:widowControl/>
              <w:ind w:right="0" w:hanging="7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</w:tr>
    </w:tbl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Целевым статьям расходов местного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присваиваются уникальные коды, сформированные с применением буквенно-цифрового ряда: </w:t>
      </w:r>
      <w:r>
        <w:rPr>
          <w:rFonts w:ascii="Times New Roman" w:hAnsi="Times New Roman" w:cs="Times New Roman"/>
          <w:sz w:val="28"/>
          <w:szCs w:val="28"/>
        </w:rPr>
        <w:t xml:space="preserve">0, 1, 2, 3, 4, 5, 6, 7, 8, 9, Б, В, Г, Д, Ж, И, К, Л, М, Н,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С, У, Ф, Ц, Ч, Ш, Щ, Э, Ю, Я, А, D, Е, F, G, I, J, L, N, Р, Q, R, S, Т, U, V, W, Y, Z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Наименования целевых статей местного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устанавливаются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характеризуют направление бюджетных ассигнований на реализацию:</w:t>
      </w: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направлений деятельности органов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подпрограмм муниципальных программ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направлений деятельности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421DE" w:rsidRDefault="00A421DE" w:rsidP="00A4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в рамках муниципальных программ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подпрограмм муниципальных программ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421DE" w:rsidRDefault="00A421DE" w:rsidP="00A4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направлений расходов.</w:t>
      </w:r>
    </w:p>
    <w:p w:rsidR="00A421DE" w:rsidRDefault="00A421DE" w:rsidP="00A4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Увязка направлений расходов с основным мероприятием муниципальной программы и подпрограммы муниципальной программы  устанавливается по следующей структуре кода целевой статьи:</w:t>
      </w: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088"/>
      </w:tblGrid>
      <w:tr w:rsidR="00A421DE" w:rsidTr="00A421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ХХ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0 00 0000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сельсовет;</w:t>
            </w:r>
          </w:p>
        </w:tc>
      </w:tr>
      <w:tr w:rsidR="00A421DE" w:rsidTr="00A421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00 0000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сельсовет;</w:t>
            </w:r>
          </w:p>
        </w:tc>
      </w:tr>
      <w:tr w:rsidR="00A421DE" w:rsidTr="00A421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ХХ 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Основное мероприятие подпрограммы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  <w:tr w:rsidR="00A421DE" w:rsidTr="00A421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ХХ 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XX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ХХХХ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X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Направление расходов на реализацию основного мероприятия соответствующей подпрограммы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</w:tbl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088"/>
      </w:tblGrid>
      <w:tr w:rsidR="00A421DE" w:rsidTr="00A421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ХХ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0 00 0000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Муниципальная программа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сельсовет;</w:t>
            </w:r>
          </w:p>
        </w:tc>
      </w:tr>
      <w:tr w:rsidR="00A421DE" w:rsidTr="00A421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ХХ 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  <w:tr w:rsidR="00A421DE" w:rsidTr="00A421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ХХ 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XX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ХХХХ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X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DE" w:rsidRDefault="00A4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Направление расходов на реализацию основного мероприятия соответствующей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</w:tbl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кодов целевых статей  расходов местного бюджета и их наименований представлены в приложении  к настоящим Указаниям.</w:t>
      </w: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left="567" w:right="424" w:firstLine="709"/>
        <w:jc w:val="center"/>
        <w:outlineLvl w:val="4"/>
        <w:rPr>
          <w:rFonts w:ascii="Times New Roman" w:hAnsi="Times New Roman"/>
          <w:snapToGrid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Порядок определения перечня и кодов целевых статей расходов местного бюджета, финансовое обеспечение которых осуществляется за счет межбюджетных трансфертов, имеющих целевое назначение, предоставляемых из </w:t>
      </w:r>
      <w:r>
        <w:rPr>
          <w:rFonts w:ascii="Times New Roman" w:hAnsi="Times New Roman"/>
          <w:sz w:val="28"/>
          <w:szCs w:val="28"/>
        </w:rPr>
        <w:t>областного бюджета.</w:t>
      </w: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left="567" w:right="424" w:firstLine="709"/>
        <w:jc w:val="both"/>
        <w:outlineLvl w:val="4"/>
        <w:rPr>
          <w:rFonts w:ascii="Times New Roman" w:hAnsi="Times New Roman"/>
          <w:snapToGrid w:val="0"/>
          <w:sz w:val="28"/>
          <w:szCs w:val="28"/>
        </w:rPr>
      </w:pP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right="-1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  <w:t>1. Коды направлений расходов местного бюджета</w:t>
      </w:r>
      <w:r>
        <w:rPr>
          <w:rFonts w:ascii="Times New Roman" w:hAnsi="Times New Roman"/>
          <w:sz w:val="28"/>
          <w:szCs w:val="28"/>
        </w:rPr>
        <w:t xml:space="preserve">, содержащие </w:t>
      </w:r>
      <w:r>
        <w:rPr>
          <w:rFonts w:ascii="Times New Roman" w:hAnsi="Times New Roman"/>
          <w:snapToGrid w:val="0"/>
          <w:sz w:val="28"/>
          <w:szCs w:val="28"/>
        </w:rPr>
        <w:t xml:space="preserve">значения </w:t>
      </w:r>
      <w:r>
        <w:rPr>
          <w:rFonts w:ascii="Times New Roman" w:hAnsi="Times New Roman"/>
          <w:sz w:val="28"/>
          <w:szCs w:val="28"/>
        </w:rPr>
        <w:t xml:space="preserve">30000 – 39990, 50000 – 59990,80000–89990,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0000–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9990, L0000–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9990,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0000–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9990, </w:t>
      </w:r>
      <w:r>
        <w:rPr>
          <w:rFonts w:ascii="Times New Roman" w:hAnsi="Times New Roman"/>
          <w:snapToGrid w:val="0"/>
          <w:sz w:val="28"/>
          <w:szCs w:val="28"/>
        </w:rPr>
        <w:t xml:space="preserve">используются для отражения расходов бюджета, источником </w:t>
      </w:r>
      <w:r>
        <w:rPr>
          <w:rFonts w:ascii="Times New Roman" w:hAnsi="Times New Roman"/>
          <w:sz w:val="28"/>
          <w:szCs w:val="28"/>
        </w:rPr>
        <w:t>финансового обеспечения которых являются межбюджетные трансферты, имеющие целевое назначение, предоставляемые из областного бюджета, в следующем порядке, если иное не установлено настоящими Указаниями:</w:t>
      </w:r>
    </w:p>
    <w:p w:rsidR="00A421DE" w:rsidRDefault="00A421DE" w:rsidP="00A421D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30000–39990, 50000–59990, 80000–89990,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0000–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9990 – для отражения расходов местного бюджета, источником финансового обеспечения которых являются субвенции </w:t>
      </w:r>
      <w:r>
        <w:rPr>
          <w:rFonts w:ascii="Times New Roman" w:hAnsi="Times New Roman"/>
          <w:bCs/>
          <w:sz w:val="28"/>
          <w:szCs w:val="28"/>
        </w:rPr>
        <w:t>из областного бюджета;</w:t>
      </w:r>
    </w:p>
    <w:p w:rsidR="00A421DE" w:rsidRDefault="00A421DE" w:rsidP="00A421D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L0000–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9990 – для отражения расходов местного бюджета, в целях 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которых из областного бюджета предоставляются субсидии </w:t>
      </w:r>
      <w:proofErr w:type="spellStart"/>
      <w:r>
        <w:rPr>
          <w:rFonts w:ascii="Times New Roman" w:hAnsi="Times New Roman"/>
          <w:sz w:val="28"/>
          <w:szCs w:val="28"/>
        </w:rPr>
        <w:t>софинансируемые</w:t>
      </w:r>
      <w:proofErr w:type="spellEnd"/>
      <w:r>
        <w:rPr>
          <w:rFonts w:ascii="Times New Roman" w:hAnsi="Times New Roman"/>
          <w:sz w:val="28"/>
          <w:szCs w:val="28"/>
        </w:rPr>
        <w:t xml:space="preserve"> из федерального бюджета;</w:t>
      </w:r>
    </w:p>
    <w:p w:rsidR="00A421DE" w:rsidRDefault="00A421DE" w:rsidP="00A421D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0000–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9990 – для отражения расходов местного бюджета, в целях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которых из областного бюджета предоставляются местным бюджетам субсидии, которые не </w:t>
      </w:r>
      <w:proofErr w:type="spellStart"/>
      <w:r>
        <w:rPr>
          <w:rFonts w:ascii="Times New Roman" w:hAnsi="Times New Roman"/>
          <w:sz w:val="28"/>
          <w:szCs w:val="28"/>
        </w:rPr>
        <w:t>софинансируются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из федерального бюджета, если иное не установлено настоящими Указаниями.</w:t>
      </w:r>
      <w:proofErr w:type="gramEnd"/>
    </w:p>
    <w:p w:rsidR="00A421DE" w:rsidRDefault="00A421DE" w:rsidP="00A421D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При формировании кодов целевых статей расходов, содержащих направления расходов местного бюджета L0000–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9990,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0000–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9990, обеспечивается на уровне второго–четвертого разрядов направлений расходов однозначная увязка данных кодов расходов местного бюджета с кодами направлений расходов областного бюджета.</w:t>
      </w:r>
    </w:p>
    <w:p w:rsidR="00A421DE" w:rsidRDefault="00A421DE" w:rsidP="00A421D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Отражение расходов местного бюджета, источником финансового обеспечения которых являются субвенции, предоставляемые из областного бюджета, осуществляется по целевым статьям расходов местного бюджета, включающим в коде направления расходов первый–четвертый разряды, идентичные первому–четвертому разрядам кодов направлений расходов областного бюджета, по которым предоставляются соответствующие субвенции.</w:t>
      </w:r>
    </w:p>
    <w:p w:rsidR="00A421DE" w:rsidRDefault="00A421DE" w:rsidP="00A421D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Наименования направлений расходов местного бюджета (наименования целевых статей, содержащих соответствующие направления расходов бюджета), содержащие значения 30000–39990, 50000–59990, 80000–89990,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0000–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9990, L0000–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9990,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0000–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9990, формируются по целевому назначению направления расходов (расходному обязательству) муниципального образования и не включает указание на наименование межбюджетного трансферта, являющегося источником финансового обеспечения расходов местного бюджета.</w:t>
      </w:r>
    </w:p>
    <w:p w:rsidR="00A421DE" w:rsidRDefault="00A421DE" w:rsidP="00A421D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Администрация МО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вправе установить необходимую детализацию пятого разряда кодов направлений расходов, содержащих значения 30000–39990, 50000–59990, 80000–89990,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0000–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9990, при отражении расходов  местного бюджета, источником </w:t>
      </w:r>
      <w:r>
        <w:rPr>
          <w:rFonts w:ascii="Times New Roman" w:hAnsi="Times New Roman"/>
          <w:sz w:val="28"/>
          <w:szCs w:val="28"/>
        </w:rPr>
        <w:lastRenderedPageBreak/>
        <w:t>финансового обеспечения которых являются безвозмездные поступления, имеющие целевое назначение, предоставляемые из областного бюджета, по направлениям расходов в рамках целевого назначения предоставляемых межбюджетных трансфертов.</w:t>
      </w:r>
    </w:p>
    <w:p w:rsidR="00A421DE" w:rsidRDefault="00A421DE" w:rsidP="00A421D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администрация МО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устанавливает детализацию пятого разряда данных кодов направлений расходов, в наименовании указанного направления расходов местного бюджета (наименовании целевой статьи, содержащей соответствующее направление расходов бюджета) после наименования кода направления расходов в скобках указывается наименование целевого назначения направления расходов.</w:t>
      </w:r>
    </w:p>
    <w:p w:rsidR="00A421DE" w:rsidRDefault="00A421DE" w:rsidP="00A421D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proofErr w:type="gramStart"/>
      <w:r>
        <w:rPr>
          <w:rFonts w:ascii="Times New Roman" w:hAnsi="Times New Roman"/>
          <w:sz w:val="28"/>
          <w:szCs w:val="28"/>
        </w:rPr>
        <w:t>При формировании кодов целевых статей расходов местного бюджета, источником которых являются межбюджетные трансферты из областного бюджета,  предоставляемые в рамках региональных проектов и приоритетных проектов Оренбургской области, обеспечивается их однозначная увязка с кодами целевых статей расходов областного бюджета на уровне четвертого–пятого разрядов кода целевой статьи расходов.</w:t>
      </w:r>
      <w:proofErr w:type="gramEnd"/>
    </w:p>
    <w:p w:rsidR="00A421DE" w:rsidRDefault="00A421DE" w:rsidP="00A421D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местного бюджета, в целях финансового обеспечения (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>) которых местному бюджету в рамках регионального проекта из областного бюджета предоставляются межбюджетные трансферты по направлениям расходов, содержащим значения 50000–59990, отражаются по направлениям расходов, идентичным направлениям расходов областного бюджета, в полном объеме, необходимом для исполнения соответствующего расходного обязательства муниципального образования.</w:t>
      </w: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Отражение в текущем финансовом году расходов местных бюджетов, осуществляемых за счет остатков межбюджетных трансфертов из областного бюджета, имеющих целевое назначение, прошлых лет, производится в следующем порядке:</w:t>
      </w: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сохранении у Оренбургской области расходных обязательств по предоставлению в текущем финансовом году межбюджетных трансфертов на указанные цели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 соответствующим направлениям расходов;</w:t>
      </w: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у Оренбургской области расходных обязательств по предоставлению в текущем финансовом году межбюджетных трансфертов на указанные цели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 направлению расходов 99990 «Прочие мероприятия, осуществляемые за счет межбюджетных трансфертов прошлых лет из областного бюджета».</w:t>
      </w: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обособления расходов бюджета, источником финансового обеспечения которых являются целевые межбюджетные трансферты из областного бюджета прошлых лет, администрация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вправе при назначении кодов целевых статей расходов детализировать в рамках пятого разряда код направления расходов 99990 «Прочие мероприятия, осуществляемые за счет межбюджетных трансфертов прошлых лет из областного бюджета» в соответствии с целевым назначением указанных межбюджетных трансфертов.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Детализация производится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применением буквенно-цифрового ряда: </w:t>
      </w:r>
      <w:r>
        <w:rPr>
          <w:rFonts w:ascii="Times New Roman" w:hAnsi="Times New Roman" w:cs="Times New Roman"/>
          <w:sz w:val="28"/>
          <w:szCs w:val="28"/>
        </w:rPr>
        <w:t xml:space="preserve">1, 2, 3, 4, 5, 6, 7, 8, 9, Б, В, Г, Д, Ж,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И, К, Л, М, Н, 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С, У, Ф, Ц, Ч, Ш, Щ, Э, Ю, Я, А, D, Е, F, G, I, J, L, N, Р, Q, R, S, Т,U, V, W, Y, Z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. Универсальные направления расходов, увязываемые с целевыми статьями основных мероприятий, подпрограмм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расходов органов местного самоуправления МО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(</w:t>
      </w:r>
      <w:proofErr w:type="spellStart"/>
      <w:r>
        <w:rPr>
          <w:rFonts w:ascii="Times New Roman" w:hAnsi="Times New Roman"/>
          <w:sz w:val="28"/>
          <w:szCs w:val="28"/>
        </w:rPr>
        <w:t>непрограммными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мероприятиями)</w:t>
      </w: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10020 Центральный аппарат</w:t>
      </w: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19140 Осуществление капитальных вложений в объекты  муниципальной собственности</w:t>
      </w: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90320 Финансирование социально-значимых мероприятий</w:t>
      </w: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90020 Выполнение других общегосударственных обязательств и функций.</w:t>
      </w:r>
    </w:p>
    <w:p w:rsidR="00A421DE" w:rsidRDefault="00A421DE" w:rsidP="00A42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421DE">
          <w:pgSz w:w="11906" w:h="16838"/>
          <w:pgMar w:top="709" w:right="850" w:bottom="1134" w:left="1701" w:header="708" w:footer="708" w:gutter="0"/>
          <w:cols w:space="720"/>
        </w:sectPr>
      </w:pPr>
    </w:p>
    <w:p w:rsidR="00A421DE" w:rsidRDefault="00A421DE" w:rsidP="00A421D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3B4E97" w:rsidRDefault="003B4E97"/>
    <w:sectPr w:rsidR="003B4E97" w:rsidSect="003B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34A23"/>
    <w:multiLevelType w:val="hybridMultilevel"/>
    <w:tmpl w:val="FE2A3F34"/>
    <w:lvl w:ilvl="0" w:tplc="997823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421DE"/>
    <w:rsid w:val="003B4E97"/>
    <w:rsid w:val="00A4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1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421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A42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A421D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1670</Words>
  <Characters>9524</Characters>
  <Application>Microsoft Office Word</Application>
  <DocSecurity>0</DocSecurity>
  <Lines>79</Lines>
  <Paragraphs>22</Paragraphs>
  <ScaleCrop>false</ScaleCrop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2023-08-29T06:29:00Z</dcterms:created>
  <dcterms:modified xsi:type="dcterms:W3CDTF">2023-08-29T06:30:00Z</dcterms:modified>
</cp:coreProperties>
</file>